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9A216A" w14:textId="77777777" w:rsidR="00F25886" w:rsidRPr="00404F84" w:rsidRDefault="00F25886" w:rsidP="00F25886">
      <w:pPr>
        <w:pStyle w:val="Heading1"/>
      </w:pPr>
      <w:r w:rsidRPr="00404F84">
        <w:t xml:space="preserve">Supplemental Material. </w:t>
      </w:r>
      <w:r>
        <w:rPr>
          <w:b w:val="0"/>
          <w:bCs/>
        </w:rPr>
        <w:t>SJT Response Process Final</w:t>
      </w:r>
      <w:r w:rsidRPr="00404F84">
        <w:rPr>
          <w:b w:val="0"/>
          <w:bCs/>
        </w:rPr>
        <w:t xml:space="preserve"> Codebook</w:t>
      </w:r>
    </w:p>
    <w:tbl>
      <w:tblPr>
        <w:tblStyle w:val="ListTable31"/>
        <w:tblW w:w="5147" w:type="pct"/>
        <w:jc w:val="center"/>
        <w:tblInd w:w="0" w:type="dxa"/>
        <w:tblLook w:val="04A0" w:firstRow="1" w:lastRow="0" w:firstColumn="1" w:lastColumn="0" w:noHBand="0" w:noVBand="1"/>
      </w:tblPr>
      <w:tblGrid>
        <w:gridCol w:w="1736"/>
        <w:gridCol w:w="4081"/>
        <w:gridCol w:w="3808"/>
      </w:tblGrid>
      <w:tr w:rsidR="00F25886" w:rsidRPr="00404F84" w14:paraId="62F59508" w14:textId="77777777" w:rsidTr="00FC57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hideMark/>
          </w:tcPr>
          <w:p w14:paraId="0700E256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Code (</w:t>
            </w:r>
            <w:proofErr w:type="spellStart"/>
            <w:r w:rsidRPr="00404F84">
              <w:rPr>
                <w:rFonts w:ascii="Times New Roman" w:hAnsi="Times New Roman" w:cs="Times New Roman"/>
              </w:rPr>
              <w:t>Abbv</w:t>
            </w:r>
            <w:proofErr w:type="spellEnd"/>
            <w:r w:rsidRPr="00404F8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52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47F7B66A" w14:textId="77777777" w:rsidR="00F25886" w:rsidRPr="00404F84" w:rsidRDefault="00F25886" w:rsidP="00FC57A8">
            <w:pPr>
              <w:ind w:left="0" w:firstLine="0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201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1DCAB1" w14:textId="77777777" w:rsidR="00F25886" w:rsidRPr="00404F84" w:rsidRDefault="00F25886" w:rsidP="00FC57A8">
            <w:pPr>
              <w:ind w:left="0" w:firstLine="0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Samples</w:t>
            </w:r>
          </w:p>
        </w:tc>
      </w:tr>
      <w:tr w:rsidR="00F25886" w:rsidRPr="00404F84" w14:paraId="34658CF6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2633E9C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  <w:i/>
              </w:rPr>
              <w:t>Situational Judgment Test Framework</w:t>
            </w:r>
          </w:p>
        </w:tc>
      </w:tr>
      <w:tr w:rsidR="00F25886" w:rsidRPr="00404F84" w14:paraId="5FE95D49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hideMark/>
          </w:tcPr>
          <w:p w14:paraId="36DD8C3E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Lack Experience (LE)*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6C59ECF4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Reference to not having witnessed or encountered a scenario or setting that is described.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E442F4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“I can’t think of a time…”, “I have not seen this before…”</w:t>
            </w:r>
          </w:p>
        </w:tc>
      </w:tr>
      <w:tr w:rsidR="00F25886" w:rsidRPr="00404F84" w14:paraId="2DDC10B2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</w:tcBorders>
            <w:hideMark/>
          </w:tcPr>
          <w:p w14:paraId="16ACA0C6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Nondescript Experience or Knowledge (NE)*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77A08AF1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Memories, observations, facts, information, strategies, or skills provided without a clear distinction of the setting or environment in which they occurred.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right w:val="single" w:sz="4" w:space="0" w:color="000000" w:themeColor="text1"/>
            </w:tcBorders>
            <w:hideMark/>
          </w:tcPr>
          <w:p w14:paraId="64FF3689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“This has happened to me” (with no qualifiers to distinguish the setting), “This happens all the time”</w:t>
            </w:r>
          </w:p>
        </w:tc>
      </w:tr>
      <w:tr w:rsidR="00F25886" w:rsidRPr="00404F84" w14:paraId="5D8A710F" w14:textId="77777777" w:rsidTr="00FC57A8">
        <w:trPr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hideMark/>
          </w:tcPr>
          <w:p w14:paraId="6E7937DB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General Experience (GE)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3B60B96E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Memories or observations that are related to experiences outside of the health professions.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B687F5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“I’ve had friends who have gone through loss”, “Reminds me when I would vent to a friend”</w:t>
            </w:r>
          </w:p>
        </w:tc>
      </w:tr>
      <w:tr w:rsidR="00F25886" w:rsidRPr="00404F84" w14:paraId="21711259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left w:val="single" w:sz="4" w:space="0" w:color="000000" w:themeColor="text1"/>
              <w:bottom w:val="single" w:sz="4" w:space="0" w:color="auto"/>
            </w:tcBorders>
            <w:hideMark/>
          </w:tcPr>
          <w:p w14:paraId="232028FD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General Knowledge (GK)</w:t>
            </w:r>
          </w:p>
        </w:tc>
        <w:tc>
          <w:tcPr>
            <w:tcW w:w="2152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23D131E7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Facts, information, strategies, or skills identified to address problems that are encountered in contexts outside of the health professions and broadly applicable to societal or cultural expectations.</w:t>
            </w:r>
          </w:p>
        </w:tc>
        <w:tc>
          <w:tcPr>
            <w:tcW w:w="2010" w:type="pct"/>
            <w:tcBorders>
              <w:left w:val="nil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2B74230A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“I think there’s social norms still… you’re not going to let them start a fist fight in the grocery store”, “We have university policies”</w:t>
            </w:r>
          </w:p>
        </w:tc>
      </w:tr>
      <w:tr w:rsidR="00F25886" w:rsidRPr="00404F84" w14:paraId="349878C9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hideMark/>
          </w:tcPr>
          <w:p w14:paraId="09D9A066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Specific Job Experience (JE)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7CEB2824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Memories or observations that are related to experiences exclusively within the health professions.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6FEB08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“I remember a time in the hospital”, “I work with patients who have depression every day”</w:t>
            </w:r>
          </w:p>
        </w:tc>
      </w:tr>
      <w:tr w:rsidR="00F25886" w:rsidRPr="00404F84" w14:paraId="24D080D7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left w:val="single" w:sz="4" w:space="0" w:color="000000" w:themeColor="text1"/>
              <w:bottom w:val="single" w:sz="4" w:space="0" w:color="auto"/>
            </w:tcBorders>
            <w:hideMark/>
          </w:tcPr>
          <w:p w14:paraId="585E798E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Specific Job Knowledge (JK)</w:t>
            </w:r>
          </w:p>
        </w:tc>
        <w:tc>
          <w:tcPr>
            <w:tcW w:w="2152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3B6A21D1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Facts, information, strategies, or skills identified to address problems that are encountered exclusively within the health professions.</w:t>
            </w:r>
          </w:p>
        </w:tc>
        <w:tc>
          <w:tcPr>
            <w:tcW w:w="2010" w:type="pct"/>
            <w:tcBorders>
              <w:left w:val="nil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71A0119C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“We are trained in mental health first aid”, “We have a policy that”, “It depends how they manage their diabetes”</w:t>
            </w:r>
          </w:p>
        </w:tc>
      </w:tr>
      <w:tr w:rsidR="00F25886" w:rsidRPr="00404F84" w14:paraId="45A730A5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hideMark/>
          </w:tcPr>
          <w:p w14:paraId="6DEB729F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Ability (AB)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7C9938A4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Reference to the possession or lack of the means or skills to do something such as a talent, skill, or proficiency in a particular area.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1EE796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“I don’t know how to do that well”, “I’m not really trained to…”, “If I was more skilled at…”</w:t>
            </w:r>
          </w:p>
        </w:tc>
      </w:tr>
      <w:tr w:rsidR="00F25886" w:rsidRPr="00404F84" w14:paraId="425551C5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left w:val="single" w:sz="4" w:space="0" w:color="000000" w:themeColor="text1"/>
              <w:bottom w:val="single" w:sz="4" w:space="0" w:color="auto"/>
            </w:tcBorders>
            <w:hideMark/>
          </w:tcPr>
          <w:p w14:paraId="3A020AE6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Self-Perception (SP)</w:t>
            </w:r>
          </w:p>
        </w:tc>
        <w:tc>
          <w:tcPr>
            <w:tcW w:w="2152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7B68F50A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Awareness of the characteristics or qualities that form an individual’s character or identity.</w:t>
            </w:r>
          </w:p>
        </w:tc>
        <w:tc>
          <w:tcPr>
            <w:tcW w:w="2010" w:type="pct"/>
            <w:tcBorders>
              <w:left w:val="nil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048D7886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 xml:space="preserve">“As a pharmacist…”, “It makes me uncomfortable”, “I tend to be more </w:t>
            </w:r>
            <w:proofErr w:type="spellStart"/>
            <w:r w:rsidRPr="00404F84">
              <w:rPr>
                <w:rFonts w:ascii="Times New Roman" w:hAnsi="Times New Roman" w:cs="Times New Roman"/>
              </w:rPr>
              <w:t>judgy</w:t>
            </w:r>
            <w:proofErr w:type="spellEnd"/>
            <w:r w:rsidRPr="00404F84">
              <w:rPr>
                <w:rFonts w:ascii="Times New Roman" w:hAnsi="Times New Roman" w:cs="Times New Roman"/>
              </w:rPr>
              <w:t>”</w:t>
            </w:r>
          </w:p>
        </w:tc>
      </w:tr>
      <w:tr w:rsidR="00F25886" w:rsidRPr="00404F84" w14:paraId="02166083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hideMark/>
          </w:tcPr>
          <w:p w14:paraId="5E2EC908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Emotional Intelligence (EI)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43E32946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The capacity to be aware of, control, and express one’s emotions and to handle relationships.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33572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“They want you to validate their feelings”, “That is upsetting”</w:t>
            </w:r>
          </w:p>
        </w:tc>
      </w:tr>
      <w:tr w:rsidR="00F25886" w:rsidRPr="00404F84" w14:paraId="35D86CE6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left w:val="single" w:sz="4" w:space="0" w:color="000000" w:themeColor="text1"/>
              <w:bottom w:val="single" w:sz="4" w:space="0" w:color="auto"/>
            </w:tcBorders>
            <w:hideMark/>
          </w:tcPr>
          <w:p w14:paraId="2F812C13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 xml:space="preserve">Ability </w:t>
            </w:r>
            <w:proofErr w:type="gramStart"/>
            <w:r w:rsidRPr="00404F84">
              <w:rPr>
                <w:rFonts w:ascii="Times New Roman" w:hAnsi="Times New Roman" w:cs="Times New Roman"/>
                <w:b w:val="0"/>
              </w:rPr>
              <w:t>To</w:t>
            </w:r>
            <w:proofErr w:type="gramEnd"/>
            <w:r w:rsidRPr="00404F84">
              <w:rPr>
                <w:rFonts w:ascii="Times New Roman" w:hAnsi="Times New Roman" w:cs="Times New Roman"/>
                <w:b w:val="0"/>
              </w:rPr>
              <w:t xml:space="preserve"> Identify Construct (AC)</w:t>
            </w:r>
          </w:p>
        </w:tc>
        <w:tc>
          <w:tcPr>
            <w:tcW w:w="2152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0984AE5F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The examinee’s attempt to identify which attribute is being evaluated by a test question.</w:t>
            </w:r>
          </w:p>
        </w:tc>
        <w:tc>
          <w:tcPr>
            <w:tcW w:w="2010" w:type="pct"/>
            <w:tcBorders>
              <w:left w:val="nil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42223858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 xml:space="preserve">“I think this is asking me to”, “I’m not sure what I am expected to do here” </w:t>
            </w:r>
          </w:p>
        </w:tc>
      </w:tr>
      <w:tr w:rsidR="00F25886" w:rsidRPr="00404F84" w14:paraId="03B2F44F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hideMark/>
          </w:tcPr>
          <w:p w14:paraId="4AD680BB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Impression Management (IM)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156339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Extent to which an examinee modifies a response based on what is expected from the test administrator.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298C3AA7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“The residency program director would want me to”, “I’d want to look like I am compassionate”</w:t>
            </w:r>
          </w:p>
        </w:tc>
      </w:tr>
      <w:tr w:rsidR="00F25886" w:rsidRPr="00404F84" w14:paraId="29F6DC52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35333CC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  <w:i/>
              </w:rPr>
              <w:t>Response Process Framework</w:t>
            </w:r>
          </w:p>
        </w:tc>
      </w:tr>
      <w:tr w:rsidR="00F25886" w:rsidRPr="00404F84" w14:paraId="4B4916D3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dotted" w:sz="4" w:space="0" w:color="auto"/>
            </w:tcBorders>
            <w:hideMark/>
          </w:tcPr>
          <w:p w14:paraId="7E6F0D01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lastRenderedPageBreak/>
              <w:t>Comprehension (CO)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552E0B2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The cognitive process used by the examinee to read, interpret, or understand the purpose of the test item.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000000" w:themeColor="text1"/>
            </w:tcBorders>
            <w:hideMark/>
          </w:tcPr>
          <w:p w14:paraId="5782AD8E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“The way I interpret this”, “This sounds like”, “I didn’t read carefully”</w:t>
            </w:r>
          </w:p>
        </w:tc>
      </w:tr>
      <w:tr w:rsidR="00F25886" w:rsidRPr="00404F84" w14:paraId="7FE97588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</w:tcBorders>
            <w:hideMark/>
          </w:tcPr>
          <w:p w14:paraId="4DFD6841" w14:textId="77777777" w:rsidR="00F25886" w:rsidRPr="00404F84" w:rsidRDefault="00F25886" w:rsidP="00FC57A8">
            <w:pPr>
              <w:ind w:left="153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Assumptions (AM)*</w:t>
            </w:r>
          </w:p>
        </w:tc>
        <w:tc>
          <w:tcPr>
            <w:tcW w:w="215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D956A05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Interpretations or constraints placed on the scenario based on the perspective of the examinee.</w:t>
            </w:r>
          </w:p>
        </w:tc>
        <w:tc>
          <w:tcPr>
            <w:tcW w:w="2010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000000" w:themeColor="text1"/>
            </w:tcBorders>
            <w:hideMark/>
          </w:tcPr>
          <w:p w14:paraId="38110494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 xml:space="preserve">“I assume this is said in a polite tone”, “I think this comes </w:t>
            </w:r>
            <w:proofErr w:type="spellStart"/>
            <w:r w:rsidRPr="00404F84">
              <w:rPr>
                <w:rFonts w:ascii="Times New Roman" w:hAnsi="Times New Roman" w:cs="Times New Roman"/>
              </w:rPr>
              <w:t>of</w:t>
            </w:r>
            <w:proofErr w:type="spellEnd"/>
            <w:r w:rsidRPr="00404F84">
              <w:rPr>
                <w:rFonts w:ascii="Times New Roman" w:hAnsi="Times New Roman" w:cs="Times New Roman"/>
              </w:rPr>
              <w:t xml:space="preserve"> as…”, “I am assuming there is…”</w:t>
            </w:r>
          </w:p>
        </w:tc>
      </w:tr>
      <w:tr w:rsidR="00F25886" w:rsidRPr="00404F84" w14:paraId="1CEFDA3F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</w:tcBorders>
            <w:hideMark/>
          </w:tcPr>
          <w:p w14:paraId="3A4EE575" w14:textId="77777777" w:rsidR="00F25886" w:rsidRPr="00404F84" w:rsidRDefault="00F25886" w:rsidP="00FC57A8">
            <w:pPr>
              <w:ind w:left="153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Objective (OB)*</w:t>
            </w:r>
          </w:p>
        </w:tc>
        <w:tc>
          <w:tcPr>
            <w:tcW w:w="215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FC58780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Identification or prediction of a goal to be accomplished by a test item or response.</w:t>
            </w:r>
          </w:p>
        </w:tc>
        <w:tc>
          <w:tcPr>
            <w:tcW w:w="2010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000000" w:themeColor="text1"/>
            </w:tcBorders>
            <w:hideMark/>
          </w:tcPr>
          <w:p w14:paraId="57EC3D13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“What would be best for the patient”, “The patient may take that in a bad way”</w:t>
            </w:r>
          </w:p>
        </w:tc>
      </w:tr>
      <w:tr w:rsidR="00F25886" w:rsidRPr="00404F84" w14:paraId="63BF536F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</w:tcBorders>
            <w:hideMark/>
          </w:tcPr>
          <w:p w14:paraId="38945C48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Retrieval (RT)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2EA5153E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Accessing long-term memories and knowledge relevant to the scenario and proposed problem.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right w:val="single" w:sz="4" w:space="0" w:color="000000" w:themeColor="text1"/>
            </w:tcBorders>
            <w:hideMark/>
          </w:tcPr>
          <w:p w14:paraId="0E2CB242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“This makes me think of…”, “I remember…”</w:t>
            </w:r>
          </w:p>
        </w:tc>
      </w:tr>
      <w:tr w:rsidR="00F25886" w:rsidRPr="00404F84" w14:paraId="021852F7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nil"/>
              <w:left w:val="single" w:sz="4" w:space="0" w:color="000000" w:themeColor="text1"/>
              <w:bottom w:val="dotted" w:sz="4" w:space="0" w:color="auto"/>
            </w:tcBorders>
            <w:hideMark/>
          </w:tcPr>
          <w:p w14:paraId="3DF0B1C6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Judgment (JU)</w:t>
            </w:r>
          </w:p>
        </w:tc>
        <w:tc>
          <w:tcPr>
            <w:tcW w:w="2152" w:type="pct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55E0DAB6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Making a decision or value-statement; typically generated by integrating memories, knowledge, experiences, and other antecedents.</w:t>
            </w:r>
          </w:p>
        </w:tc>
        <w:tc>
          <w:tcPr>
            <w:tcW w:w="2010" w:type="pct"/>
            <w:tcBorders>
              <w:top w:val="nil"/>
              <w:left w:val="nil"/>
              <w:bottom w:val="dotted" w:sz="4" w:space="0" w:color="auto"/>
              <w:right w:val="single" w:sz="4" w:space="0" w:color="000000" w:themeColor="text1"/>
            </w:tcBorders>
            <w:hideMark/>
          </w:tcPr>
          <w:p w14:paraId="2E335388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“This is a bad approach”, “I think that is a good idea”, “I would never do that”, “Compared to this option”, “You should...”. NOT: “Yes”, “No”</w:t>
            </w:r>
          </w:p>
        </w:tc>
      </w:tr>
      <w:tr w:rsidR="00F25886" w:rsidRPr="00404F84" w14:paraId="306AB628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dotted" w:sz="4" w:space="0" w:color="auto"/>
              <w:left w:val="single" w:sz="4" w:space="0" w:color="000000" w:themeColor="text1"/>
              <w:bottom w:val="dotted" w:sz="4" w:space="0" w:color="auto"/>
            </w:tcBorders>
            <w:hideMark/>
          </w:tcPr>
          <w:p w14:paraId="7A3376F0" w14:textId="77777777" w:rsidR="00F25886" w:rsidRPr="00404F84" w:rsidRDefault="00F25886" w:rsidP="00FC57A8">
            <w:pPr>
              <w:ind w:left="153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Feelings About the Test (FT)*</w:t>
            </w:r>
          </w:p>
        </w:tc>
        <w:tc>
          <w:tcPr>
            <w:tcW w:w="2152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366D1A6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Emotions or comments regarding the quality of the test items.</w:t>
            </w:r>
          </w:p>
        </w:tc>
        <w:tc>
          <w:tcPr>
            <w:tcW w:w="2010" w:type="pct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000000" w:themeColor="text1"/>
            </w:tcBorders>
            <w:hideMark/>
          </w:tcPr>
          <w:p w14:paraId="3A858C78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“This one was difficult”, “I didn’t like…”</w:t>
            </w:r>
          </w:p>
        </w:tc>
      </w:tr>
      <w:tr w:rsidR="00F25886" w:rsidRPr="00404F84" w14:paraId="03C7D392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nil"/>
              <w:left w:val="single" w:sz="4" w:space="0" w:color="000000" w:themeColor="text1"/>
              <w:bottom w:val="dotted" w:sz="4" w:space="0" w:color="auto"/>
            </w:tcBorders>
            <w:hideMark/>
          </w:tcPr>
          <w:p w14:paraId="08DAD8DA" w14:textId="77777777" w:rsidR="00F25886" w:rsidRPr="00404F84" w:rsidRDefault="00F25886" w:rsidP="00FC57A8">
            <w:pPr>
              <w:ind w:left="153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Perceptions (PR)*</w:t>
            </w:r>
          </w:p>
        </w:tc>
        <w:tc>
          <w:tcPr>
            <w:tcW w:w="2152" w:type="pct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4EBDDF23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Awareness of factors weighed when deciding the priority of response options.</w:t>
            </w:r>
          </w:p>
        </w:tc>
        <w:tc>
          <w:tcPr>
            <w:tcW w:w="2010" w:type="pct"/>
            <w:tcBorders>
              <w:top w:val="nil"/>
              <w:left w:val="nil"/>
              <w:bottom w:val="dotted" w:sz="4" w:space="0" w:color="auto"/>
              <w:right w:val="single" w:sz="4" w:space="0" w:color="000000" w:themeColor="text1"/>
            </w:tcBorders>
            <w:hideMark/>
          </w:tcPr>
          <w:p w14:paraId="6526278A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“Often times they just want an apology”, “How I would want to be treated in the situation”</w:t>
            </w:r>
          </w:p>
        </w:tc>
      </w:tr>
      <w:tr w:rsidR="00F25886" w:rsidRPr="00404F84" w14:paraId="064D9081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dotted" w:sz="4" w:space="0" w:color="auto"/>
              <w:left w:val="single" w:sz="4" w:space="0" w:color="000000" w:themeColor="text1"/>
              <w:bottom w:val="single" w:sz="4" w:space="0" w:color="auto"/>
            </w:tcBorders>
            <w:hideMark/>
          </w:tcPr>
          <w:p w14:paraId="240C33E0" w14:textId="77777777" w:rsidR="00F25886" w:rsidRPr="00404F84" w:rsidRDefault="00F25886" w:rsidP="00FC57A8">
            <w:pPr>
              <w:ind w:left="153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Context (CT)*</w:t>
            </w:r>
          </w:p>
        </w:tc>
        <w:tc>
          <w:tcPr>
            <w:tcW w:w="215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2ED5D2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Reference to how variations in the components of the scenario may affect the selected responses.</w:t>
            </w:r>
          </w:p>
        </w:tc>
        <w:tc>
          <w:tcPr>
            <w:tcW w:w="2010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36CD8AAB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“It depends on…”, “I don’t think my answer would change in a healthcare setting”</w:t>
            </w:r>
          </w:p>
        </w:tc>
      </w:tr>
      <w:tr w:rsidR="00F25886" w:rsidRPr="00404F84" w14:paraId="07941355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dotted" w:sz="4" w:space="0" w:color="auto"/>
            </w:tcBorders>
            <w:hideMark/>
          </w:tcPr>
          <w:p w14:paraId="68AD48D4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Response Selection (RP)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ACFCE0C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 xml:space="preserve">The final verbal or written answer that is selected by the examinee. 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000000" w:themeColor="text1"/>
            </w:tcBorders>
            <w:hideMark/>
          </w:tcPr>
          <w:p w14:paraId="712084D0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“This would be number five”, “It goes last”</w:t>
            </w:r>
          </w:p>
        </w:tc>
      </w:tr>
      <w:tr w:rsidR="00F25886" w:rsidRPr="00404F84" w14:paraId="5A8AC2A9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dotted" w:sz="4" w:space="0" w:color="auto"/>
              <w:left w:val="single" w:sz="4" w:space="0" w:color="000000" w:themeColor="text1"/>
              <w:bottom w:val="single" w:sz="4" w:space="0" w:color="auto"/>
            </w:tcBorders>
            <w:hideMark/>
          </w:tcPr>
          <w:p w14:paraId="56B6496B" w14:textId="77777777" w:rsidR="00F25886" w:rsidRPr="00404F84" w:rsidRDefault="00F25886" w:rsidP="00FC57A8">
            <w:pPr>
              <w:ind w:left="153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Strategies (ST)*</w:t>
            </w:r>
          </w:p>
        </w:tc>
        <w:tc>
          <w:tcPr>
            <w:tcW w:w="2152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2B67C9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Techniques used by examinees to answer test items.</w:t>
            </w:r>
          </w:p>
        </w:tc>
        <w:tc>
          <w:tcPr>
            <w:tcW w:w="2010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5E3962A8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“I selected the first and last option, then guessed”</w:t>
            </w:r>
          </w:p>
        </w:tc>
      </w:tr>
      <w:tr w:rsidR="00F25886" w:rsidRPr="00404F84" w14:paraId="6CDF0BA6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85AC25C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  <w:i/>
              </w:rPr>
              <w:t>Empathy Framework</w:t>
            </w:r>
          </w:p>
        </w:tc>
      </w:tr>
      <w:tr w:rsidR="00F25886" w:rsidRPr="00404F84" w14:paraId="31C1DDBA" w14:textId="77777777" w:rsidTr="00FC57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</w:tcBorders>
            <w:hideMark/>
          </w:tcPr>
          <w:p w14:paraId="43CEE367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Affective Empathy (AE)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72F6C93F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Individual’s ability to experience and internalize the feelings experienced by others.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right w:val="single" w:sz="4" w:space="0" w:color="000000" w:themeColor="text1"/>
            </w:tcBorders>
            <w:hideMark/>
          </w:tcPr>
          <w:p w14:paraId="00936622" w14:textId="77777777" w:rsidR="00F25886" w:rsidRPr="00404F84" w:rsidRDefault="00F25886" w:rsidP="00FC57A8">
            <w:pPr>
              <w:ind w:left="0" w:firstLine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“They are likely upset or frustrated”, “This is so sad”</w:t>
            </w:r>
          </w:p>
        </w:tc>
      </w:tr>
      <w:tr w:rsidR="00F25886" w:rsidRPr="00404F84" w14:paraId="3AA3FDFD" w14:textId="77777777" w:rsidTr="00FC57A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hideMark/>
          </w:tcPr>
          <w:p w14:paraId="7563E4F6" w14:textId="77777777" w:rsidR="00F25886" w:rsidRPr="00404F84" w:rsidRDefault="00F25886" w:rsidP="00FC57A8">
            <w:pPr>
              <w:ind w:left="0" w:firstLine="0"/>
              <w:contextualSpacing/>
              <w:rPr>
                <w:rFonts w:ascii="Times New Roman" w:hAnsi="Times New Roman" w:cs="Times New Roman"/>
                <w:b w:val="0"/>
              </w:rPr>
            </w:pPr>
            <w:r w:rsidRPr="00404F84">
              <w:rPr>
                <w:rFonts w:ascii="Times New Roman" w:hAnsi="Times New Roman" w:cs="Times New Roman"/>
                <w:b w:val="0"/>
              </w:rPr>
              <w:t>Cognitive Empathy (CE)</w:t>
            </w:r>
          </w:p>
        </w:tc>
        <w:tc>
          <w:tcPr>
            <w:tcW w:w="2152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1453A625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Individual’s ability to understand another person’s perspective instead of being self-oriented.</w:t>
            </w:r>
          </w:p>
        </w:tc>
        <w:tc>
          <w:tcPr>
            <w:tcW w:w="2010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19A38B" w14:textId="77777777" w:rsidR="00F25886" w:rsidRPr="00404F84" w:rsidRDefault="00F25886" w:rsidP="00FC57A8">
            <w:pPr>
              <w:ind w:left="0" w:firstLine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04F84">
              <w:rPr>
                <w:rFonts w:ascii="Times New Roman" w:hAnsi="Times New Roman" w:cs="Times New Roman"/>
              </w:rPr>
              <w:t>“Trying to think about their perspective”, “Putting myself in their shoes…”</w:t>
            </w:r>
          </w:p>
        </w:tc>
      </w:tr>
    </w:tbl>
    <w:p w14:paraId="40539B5E" w14:textId="77777777" w:rsidR="00F25886" w:rsidRPr="00DF6B08" w:rsidRDefault="00F25886" w:rsidP="00F25886">
      <w:pPr>
        <w:rPr>
          <w:rFonts w:ascii="Times New Roman" w:hAnsi="Times New Roman" w:cs="Times New Roman"/>
          <w:sz w:val="20"/>
          <w:szCs w:val="20"/>
        </w:rPr>
      </w:pPr>
      <w:r w:rsidRPr="00404F84">
        <w:rPr>
          <w:rFonts w:ascii="Times New Roman" w:hAnsi="Times New Roman" w:cs="Times New Roman"/>
          <w:b/>
          <w:sz w:val="20"/>
          <w:szCs w:val="20"/>
        </w:rPr>
        <w:t>*</w:t>
      </w:r>
      <w:r w:rsidRPr="00404F84">
        <w:rPr>
          <w:rFonts w:ascii="Times New Roman" w:hAnsi="Times New Roman" w:cs="Times New Roman"/>
          <w:sz w:val="20"/>
          <w:szCs w:val="20"/>
        </w:rPr>
        <w:t>Code added through inductive process (i.e., not in the original codebook)</w:t>
      </w:r>
    </w:p>
    <w:p w14:paraId="5316E910" w14:textId="77777777" w:rsidR="00F25886" w:rsidRDefault="00F25886">
      <w:bookmarkStart w:id="0" w:name="_GoBack"/>
      <w:bookmarkEnd w:id="0"/>
    </w:p>
    <w:sectPr w:rsidR="00F25886" w:rsidSect="00C84727">
      <w:headerReference w:type="even" r:id="rId4"/>
      <w:headerReference w:type="default" r:id="rId5"/>
      <w:footerReference w:type="default" r:id="rId6"/>
      <w:headerReference w:type="first" r:id="rId7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7E313" w14:textId="77777777" w:rsidR="008C2C9F" w:rsidRPr="0053441F" w:rsidRDefault="00F25886" w:rsidP="00D0702C">
    <w:pPr>
      <w:pStyle w:val="Footer"/>
      <w:rPr>
        <w:rFonts w:ascii="Times New Roman" w:hAnsi="Times New Roman" w:cs="Times New Roman"/>
        <w:sz w:val="22"/>
        <w:szCs w:val="22"/>
      </w:rPr>
    </w:pPr>
  </w:p>
  <w:p w14:paraId="36FF07F3" w14:textId="77777777" w:rsidR="008C2C9F" w:rsidRDefault="00F2588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9465639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27C316C" w14:textId="77777777" w:rsidR="008C2C9F" w:rsidRDefault="00F25886" w:rsidP="0030126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80F8FD" w14:textId="77777777" w:rsidR="008C2C9F" w:rsidRDefault="00F25886">
    <w:pPr>
      <w:pStyle w:val="Header"/>
      <w:ind w:right="360"/>
      <w:pPrChange w:id="1" w:author="Nikki Lobczowski" w:date="2019-08-31T15:06:00Z">
        <w:pPr>
          <w:pStyle w:val="Header"/>
        </w:pPr>
      </w:pPrChange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  <w:sz w:val="22"/>
        <w:szCs w:val="22"/>
      </w:rPr>
      <w:id w:val="-95139911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56269D7" w14:textId="77777777" w:rsidR="008C2C9F" w:rsidRPr="00D0702C" w:rsidRDefault="00F25886" w:rsidP="00301260">
        <w:pPr>
          <w:pStyle w:val="Header"/>
          <w:framePr w:wrap="none" w:vAnchor="text" w:hAnchor="margin" w:xAlign="right" w:y="1"/>
          <w:rPr>
            <w:rStyle w:val="PageNumber"/>
            <w:sz w:val="22"/>
            <w:szCs w:val="22"/>
          </w:rPr>
        </w:pPr>
        <w:r w:rsidRPr="00D0702C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begin"/>
        </w:r>
        <w:r w:rsidRPr="00D0702C">
          <w:rPr>
            <w:rStyle w:val="PageNumber"/>
            <w:rFonts w:ascii="Times New Roman" w:hAnsi="Times New Roman" w:cs="Times New Roman"/>
            <w:sz w:val="22"/>
            <w:szCs w:val="22"/>
          </w:rPr>
          <w:instrText xml:space="preserve"> PAGE </w:instrText>
        </w:r>
        <w:r w:rsidRPr="00D0702C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  <w:sz w:val="22"/>
            <w:szCs w:val="22"/>
          </w:rPr>
          <w:t>2</w:t>
        </w:r>
        <w:r w:rsidRPr="00D0702C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6B834075" w14:textId="77777777" w:rsidR="008C2C9F" w:rsidRPr="003D23A2" w:rsidRDefault="00F25886" w:rsidP="00D0702C">
    <w:pPr>
      <w:pStyle w:val="Header"/>
      <w:ind w:right="360"/>
      <w:rPr>
        <w:rFonts w:ascii="Times New Roman" w:hAnsi="Times New Roman" w:cs="Times New Roman"/>
        <w:sz w:val="22"/>
        <w:szCs w:val="22"/>
      </w:rPr>
    </w:pPr>
    <w:r w:rsidRPr="003D23A2">
      <w:rPr>
        <w:rFonts w:ascii="Times New Roman" w:hAnsi="Times New Roman" w:cs="Times New Roman"/>
        <w:sz w:val="22"/>
        <w:szCs w:val="22"/>
      </w:rPr>
      <w:t xml:space="preserve">SJT </w:t>
    </w:r>
    <w:r>
      <w:rPr>
        <w:rFonts w:ascii="Times New Roman" w:hAnsi="Times New Roman" w:cs="Times New Roman"/>
        <w:sz w:val="22"/>
        <w:szCs w:val="22"/>
      </w:rPr>
      <w:t xml:space="preserve">RESPONSE </w:t>
    </w:r>
    <w:r>
      <w:rPr>
        <w:rFonts w:ascii="Times New Roman" w:hAnsi="Times New Roman" w:cs="Times New Roman"/>
        <w:sz w:val="22"/>
        <w:szCs w:val="22"/>
      </w:rPr>
      <w:t>PROCESS</w:t>
    </w:r>
    <w:r w:rsidRPr="003D23A2">
      <w:rPr>
        <w:rFonts w:ascii="Times New Roman" w:hAnsi="Times New Roman" w:cs="Times New Roman"/>
        <w:sz w:val="22"/>
        <w:szCs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092389480"/>
      <w:docPartObj>
        <w:docPartGallery w:val="Page Numbers (Top of Page)"/>
        <w:docPartUnique/>
      </w:docPartObj>
    </w:sdtPr>
    <w:sdtEndPr>
      <w:rPr>
        <w:rStyle w:val="PageNumber"/>
        <w:rFonts w:ascii="Times New Roman" w:hAnsi="Times New Roman" w:cs="Times New Roman"/>
        <w:sz w:val="22"/>
        <w:szCs w:val="22"/>
      </w:rPr>
    </w:sdtEndPr>
    <w:sdtContent>
      <w:p w14:paraId="7AB30C5C" w14:textId="77777777" w:rsidR="008C2C9F" w:rsidRPr="00DF6B08" w:rsidRDefault="00F25886" w:rsidP="00301260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  <w:sz w:val="22"/>
            <w:szCs w:val="22"/>
          </w:rPr>
        </w:pPr>
        <w:r w:rsidRPr="00DF6B08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begin"/>
        </w:r>
        <w:r w:rsidRPr="00DF6B08">
          <w:rPr>
            <w:rStyle w:val="PageNumber"/>
            <w:rFonts w:ascii="Times New Roman" w:hAnsi="Times New Roman" w:cs="Times New Roman"/>
            <w:sz w:val="22"/>
            <w:szCs w:val="22"/>
          </w:rPr>
          <w:instrText xml:space="preserve"> PAGE </w:instrText>
        </w:r>
        <w:r w:rsidRPr="00DF6B08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separate"/>
        </w:r>
        <w:r w:rsidRPr="00DF6B08">
          <w:rPr>
            <w:rStyle w:val="PageNumber"/>
            <w:rFonts w:ascii="Times New Roman" w:hAnsi="Times New Roman" w:cs="Times New Roman"/>
            <w:noProof/>
            <w:sz w:val="22"/>
            <w:szCs w:val="22"/>
          </w:rPr>
          <w:t>1</w:t>
        </w:r>
        <w:r w:rsidRPr="00DF6B08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41EE3103" w14:textId="77777777" w:rsidR="008C2C9F" w:rsidRPr="00B06A4E" w:rsidRDefault="00F25886" w:rsidP="00301260">
    <w:pPr>
      <w:pStyle w:val="Header"/>
      <w:ind w:right="360"/>
      <w:rPr>
        <w:rFonts w:ascii="Times New Roman" w:hAnsi="Times New Roman" w:cs="Times New Roman"/>
        <w:sz w:val="22"/>
        <w:szCs w:val="22"/>
      </w:rPr>
    </w:pPr>
    <w:r w:rsidRPr="00DF6B08">
      <w:rPr>
        <w:rFonts w:ascii="Times New Roman" w:hAnsi="Times New Roman" w:cs="Times New Roman"/>
        <w:sz w:val="22"/>
        <w:szCs w:val="22"/>
      </w:rPr>
      <w:t xml:space="preserve">Running Head: </w:t>
    </w:r>
    <w:r w:rsidRPr="00301260">
      <w:rPr>
        <w:rFonts w:ascii="Times New Roman" w:hAnsi="Times New Roman" w:cs="Times New Roman"/>
        <w:sz w:val="22"/>
        <w:szCs w:val="22"/>
      </w:rPr>
      <w:t xml:space="preserve">SJT RESPONSE PROCESS </w:t>
    </w:r>
  </w:p>
  <w:p w14:paraId="69DB2936" w14:textId="77777777" w:rsidR="008C2C9F" w:rsidRPr="00301260" w:rsidRDefault="00F25886">
    <w:pPr>
      <w:pStyle w:val="Header"/>
      <w:rPr>
        <w:rFonts w:ascii="Times New Roman" w:hAnsi="Times New Roman" w:cs="Times New Roman"/>
        <w:sz w:val="22"/>
        <w:szCs w:val="22"/>
        <w:rPrChange w:id="2" w:author="Nikki Lobczowski" w:date="2019-08-31T15:07:00Z">
          <w:rPr/>
        </w:rPrChange>
      </w:rPr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Nikki Lobczowski">
    <w15:presenceInfo w15:providerId="None" w15:userId="Nikki Lobczowsk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886"/>
    <w:rsid w:val="00F2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0FA1B"/>
  <w15:chartTrackingRefBased/>
  <w15:docId w15:val="{7D79B687-97B9-46F7-AFF5-20ED5D073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886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886"/>
    <w:pPr>
      <w:keepNext/>
      <w:keepLines/>
      <w:spacing w:line="480" w:lineRule="auto"/>
      <w:contextualSpacing/>
      <w:jc w:val="center"/>
      <w:outlineLvl w:val="0"/>
    </w:pPr>
    <w:rPr>
      <w:rFonts w:ascii="Times New Roman" w:eastAsiaTheme="majorEastAsia" w:hAnsi="Times New Roman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886"/>
    <w:rPr>
      <w:rFonts w:ascii="Times New Roman" w:eastAsiaTheme="majorEastAsia" w:hAnsi="Times New Roman" w:cstheme="majorBidi"/>
      <w:b/>
      <w:sz w:val="24"/>
      <w:szCs w:val="32"/>
    </w:rPr>
  </w:style>
  <w:style w:type="paragraph" w:styleId="Header">
    <w:name w:val="header"/>
    <w:basedOn w:val="Normal"/>
    <w:link w:val="HeaderChar"/>
    <w:uiPriority w:val="99"/>
    <w:unhideWhenUsed/>
    <w:rsid w:val="00F258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88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258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886"/>
    <w:rPr>
      <w:sz w:val="24"/>
      <w:szCs w:val="24"/>
    </w:rPr>
  </w:style>
  <w:style w:type="table" w:customStyle="1" w:styleId="ListTable31">
    <w:name w:val="List Table 31"/>
    <w:basedOn w:val="TableNormal"/>
    <w:uiPriority w:val="48"/>
    <w:rsid w:val="00F25886"/>
    <w:pPr>
      <w:spacing w:after="0" w:line="240" w:lineRule="auto"/>
      <w:ind w:left="720" w:hanging="360"/>
    </w:pPr>
    <w:rPr>
      <w:sz w:val="18"/>
    </w:rPr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F25886"/>
  </w:style>
  <w:style w:type="character" w:styleId="LineNumber">
    <w:name w:val="line number"/>
    <w:basedOn w:val="DefaultParagraphFont"/>
    <w:uiPriority w:val="99"/>
    <w:semiHidden/>
    <w:unhideWhenUsed/>
    <w:rsid w:val="00F258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749</Words>
  <Characters>4271</Characters>
  <Application>Microsoft Office Word</Application>
  <DocSecurity>0</DocSecurity>
  <Lines>35</Lines>
  <Paragraphs>10</Paragraphs>
  <ScaleCrop>false</ScaleCrop>
  <Company/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2020-04-01T11:59:00Z</dcterms:created>
  <dcterms:modified xsi:type="dcterms:W3CDTF">2020-04-01T11:59:00Z</dcterms:modified>
</cp:coreProperties>
</file>